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Henley and Thame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Henley and Thame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Henley and Thame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Henley and Thame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Henley and Thame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Henley and Thame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Henley and Thame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Henley and Thame is estimated to be </w:t>
      </w:r>
      <w:r w:rsidRPr="00773DF7">
        <w:rPr>
          <w:rFonts w:ascii="Libre Franklin Light" w:eastAsia="Times New Roman" w:hAnsi="Libre Franklin Light" w:cs="Calibri Light"/>
          <w:b/>
          <w:bCs/>
          <w:color w:val="C45911" w:themeColor="accent2" w:themeShade="BF"/>
        </w:rPr>
        <w:t xml:space="preserve">£819,320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Henley and Thame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Henley and Thame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Henley and Thame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Henley and Thame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nley and Tham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Henley and Thame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nley and Tham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Henley and Thame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Henley and Thame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nley and Tham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Henley and Thame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Henley and Thame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Henley and Thame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Henley and Thame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Henley and Thame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Henley and Thame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£819,320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Henley and Thame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£275,990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£19,771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£494,459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£819,320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Henley and Thame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Henley and Thame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Henley and Thame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Henley and Thame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Henley and Thame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Henley and Thame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Henley and Thame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Henley and Thame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Henley and Thame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Henley and Thame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Henley and Thame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Henley and Thame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0BCFF7A-6398-42A0-B3A7-394F346436F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